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5713" w14:textId="50A70276" w:rsidR="00007D65" w:rsidRPr="00C64DC6" w:rsidRDefault="00007D65" w:rsidP="00332D7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2D7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64DC6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14:paraId="342A4F3E" w14:textId="77777777" w:rsidR="00007D65" w:rsidRPr="00332D70" w:rsidRDefault="00007D65" w:rsidP="00332D7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326826B" w14:textId="7D176F5F" w:rsidR="00303735" w:rsidRPr="00CC6CEB" w:rsidRDefault="00303735" w:rsidP="00332D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7F7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4D560A" w:rsidRPr="004D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7F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54C58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322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7F7">
        <w:rPr>
          <w:rFonts w:ascii="Times New Roman" w:hAnsi="Times New Roman" w:cs="Times New Roman"/>
          <w:b/>
          <w:sz w:val="28"/>
          <w:szCs w:val="28"/>
        </w:rPr>
        <w:t xml:space="preserve">заявки на ипотечный кредит </w:t>
      </w:r>
      <w:r w:rsidR="00A411B3">
        <w:rPr>
          <w:rFonts w:ascii="Times New Roman" w:hAnsi="Times New Roman" w:cs="Times New Roman"/>
          <w:b/>
          <w:sz w:val="28"/>
          <w:szCs w:val="28"/>
        </w:rPr>
        <w:br/>
      </w:r>
      <w:r w:rsidR="00A457F7">
        <w:rPr>
          <w:rFonts w:ascii="Times New Roman" w:hAnsi="Times New Roman" w:cs="Times New Roman"/>
          <w:b/>
          <w:sz w:val="28"/>
          <w:szCs w:val="28"/>
        </w:rPr>
        <w:t>и проведения андеррайтинга заемщика и предмета ипотеки</w:t>
      </w: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510"/>
        <w:gridCol w:w="6400"/>
        <w:gridCol w:w="3420"/>
        <w:gridCol w:w="4236"/>
      </w:tblGrid>
      <w:tr w:rsidR="00FD41A4" w:rsidRPr="00CC6CEB" w14:paraId="43268271" w14:textId="77777777" w:rsidTr="00C03772">
        <w:tc>
          <w:tcPr>
            <w:tcW w:w="175" w:type="pct"/>
            <w:vAlign w:val="center"/>
          </w:tcPr>
          <w:p w14:paraId="4326826C" w14:textId="7B0DB3D1" w:rsidR="00FD41A4" w:rsidRPr="00FD41A4" w:rsidRDefault="00FD41A4" w:rsidP="00332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C0AF8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197" w:type="pct"/>
            <w:vAlign w:val="center"/>
          </w:tcPr>
          <w:p w14:paraId="4326826E" w14:textId="137ADBBB" w:rsidR="00FD41A4" w:rsidRPr="00CC6CEB" w:rsidRDefault="00FD41A4" w:rsidP="00B7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174" w:type="pct"/>
            <w:vAlign w:val="center"/>
          </w:tcPr>
          <w:p w14:paraId="4326826F" w14:textId="7BEAD581" w:rsidR="00FD41A4" w:rsidRPr="00CC6CEB" w:rsidRDefault="00FD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 актуальности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документа/копии </w:t>
            </w:r>
            <w:r w:rsidR="006C0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 документа </w:t>
            </w:r>
            <w:r w:rsidR="006C0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 состоянию </w:t>
            </w:r>
            <w:r w:rsidR="006C0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CC6C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дату рассмотрения </w:t>
            </w:r>
            <w:r w:rsidRPr="00343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кредитной заявки</w:t>
            </w:r>
          </w:p>
        </w:tc>
        <w:tc>
          <w:tcPr>
            <w:tcW w:w="1454" w:type="pct"/>
            <w:vAlign w:val="center"/>
          </w:tcPr>
          <w:p w14:paraId="43268270" w14:textId="77777777" w:rsidR="00FD41A4" w:rsidRPr="00CC6CEB" w:rsidRDefault="00FD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Необходимость предоставления</w:t>
            </w:r>
          </w:p>
        </w:tc>
      </w:tr>
      <w:tr w:rsidR="00A457F7" w:rsidRPr="00CC6CEB" w14:paraId="43268274" w14:textId="77777777" w:rsidTr="00FD41A4">
        <w:tc>
          <w:tcPr>
            <w:tcW w:w="5000" w:type="pct"/>
            <w:gridSpan w:val="4"/>
          </w:tcPr>
          <w:p w14:paraId="43268272" w14:textId="77777777" w:rsidR="00975B5C" w:rsidRDefault="00975B5C" w:rsidP="00302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268273" w14:textId="77777777" w:rsidR="00A457F7" w:rsidRPr="00BB4C2A" w:rsidRDefault="00A457F7" w:rsidP="00302F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4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1. Ра</w:t>
            </w:r>
            <w:r w:rsidR="00BB4C2A" w:rsidRPr="00BB4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ссмотрение заявки заемщика</w:t>
            </w:r>
          </w:p>
        </w:tc>
      </w:tr>
      <w:tr w:rsidR="00FD41A4" w:rsidRPr="00CC6CEB" w14:paraId="4326827B" w14:textId="77777777" w:rsidTr="00FD41A4">
        <w:tc>
          <w:tcPr>
            <w:tcW w:w="175" w:type="pct"/>
          </w:tcPr>
          <w:p w14:paraId="43268275" w14:textId="77777777" w:rsidR="00FD41A4" w:rsidRPr="002D33D0" w:rsidRDefault="00FD41A4" w:rsidP="007D5B8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77" w14:textId="0705DCC9" w:rsidR="00FD41A4" w:rsidRPr="00CC6CEB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Анкета-заявление на получение кредита/займа</w:t>
            </w:r>
          </w:p>
        </w:tc>
        <w:tc>
          <w:tcPr>
            <w:tcW w:w="1174" w:type="pct"/>
            <w:vAlign w:val="center"/>
          </w:tcPr>
          <w:p w14:paraId="43268278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Merge w:val="restart"/>
            <w:vAlign w:val="center"/>
          </w:tcPr>
          <w:p w14:paraId="43268279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Всегда</w:t>
            </w:r>
          </w:p>
          <w:p w14:paraId="4326827A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A4" w:rsidRPr="00CC6CEB" w14:paraId="43268281" w14:textId="77777777" w:rsidTr="00FD41A4">
        <w:tc>
          <w:tcPr>
            <w:tcW w:w="175" w:type="pct"/>
          </w:tcPr>
          <w:p w14:paraId="4326827C" w14:textId="77777777" w:rsidR="00FD41A4" w:rsidRPr="002D33D0" w:rsidRDefault="00FD41A4" w:rsidP="007D5B8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7E" w14:textId="42C0BB01" w:rsidR="00FD41A4" w:rsidRPr="00CC6CEB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1174" w:type="pct"/>
            <w:vAlign w:val="center"/>
          </w:tcPr>
          <w:p w14:paraId="4326827F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Merge/>
            <w:vAlign w:val="bottom"/>
          </w:tcPr>
          <w:p w14:paraId="43268280" w14:textId="77777777" w:rsidR="00FD41A4" w:rsidRPr="00CC6CEB" w:rsidRDefault="00FD41A4" w:rsidP="0030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A4" w:rsidRPr="00CC6CEB" w14:paraId="43268287" w14:textId="77777777" w:rsidTr="00FD41A4">
        <w:tc>
          <w:tcPr>
            <w:tcW w:w="175" w:type="pct"/>
          </w:tcPr>
          <w:p w14:paraId="43268282" w14:textId="77777777" w:rsidR="00FD41A4" w:rsidRPr="002D33D0" w:rsidRDefault="00FD41A4" w:rsidP="007D5B8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84" w14:textId="5B582B41" w:rsidR="00FD41A4" w:rsidRPr="00CC6CEB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регистрации по месту жительства или иной документ, подтверждающий адрес регистрации заемщика </w:t>
            </w:r>
          </w:p>
        </w:tc>
        <w:tc>
          <w:tcPr>
            <w:tcW w:w="1174" w:type="pct"/>
            <w:vAlign w:val="center"/>
          </w:tcPr>
          <w:p w14:paraId="43268285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Merge/>
            <w:vAlign w:val="bottom"/>
          </w:tcPr>
          <w:p w14:paraId="43268286" w14:textId="77777777" w:rsidR="00FD41A4" w:rsidRPr="00CC6CEB" w:rsidRDefault="00FD41A4" w:rsidP="0030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A4" w:rsidRPr="00CC6CEB" w14:paraId="4326828D" w14:textId="77777777" w:rsidTr="00FD41A4">
        <w:tc>
          <w:tcPr>
            <w:tcW w:w="175" w:type="pct"/>
          </w:tcPr>
          <w:p w14:paraId="43268288" w14:textId="77777777" w:rsidR="00FD41A4" w:rsidRPr="002D33D0" w:rsidRDefault="00FD41A4" w:rsidP="007D5B8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4326828A" w14:textId="2FA65FA9" w:rsidR="00FD41A4" w:rsidRPr="00CC6CEB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1174" w:type="pct"/>
            <w:vAlign w:val="center"/>
          </w:tcPr>
          <w:p w14:paraId="4326828B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454" w:type="pct"/>
            <w:vAlign w:val="bottom"/>
          </w:tcPr>
          <w:p w14:paraId="4326828C" w14:textId="07189D48" w:rsidR="00FD41A4" w:rsidRPr="00CC6CEB" w:rsidRDefault="00FD41A4" w:rsidP="0030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заемщиком, чей доход учитывается при оценке платежеспособности, является лицо мужского пола до 27 лет</w:t>
            </w:r>
          </w:p>
        </w:tc>
      </w:tr>
      <w:tr w:rsidR="00FD41A4" w:rsidRPr="00CC6CEB" w14:paraId="43268294" w14:textId="77777777" w:rsidTr="00FD41A4">
        <w:tc>
          <w:tcPr>
            <w:tcW w:w="175" w:type="pct"/>
          </w:tcPr>
          <w:p w14:paraId="4326828E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90" w14:textId="565679BE" w:rsidR="00FD41A4" w:rsidRPr="00BB4C2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регулирующие режим имущества супругов, распространяющийся на предмет залога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видетельство о заключении брака,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огласие на приобретение или/и залог недвижимого имущества, брачный договор)</w:t>
            </w:r>
          </w:p>
        </w:tc>
        <w:tc>
          <w:tcPr>
            <w:tcW w:w="1174" w:type="pct"/>
            <w:vAlign w:val="center"/>
          </w:tcPr>
          <w:p w14:paraId="43268291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454" w:type="pct"/>
            <w:vAlign w:val="center"/>
          </w:tcPr>
          <w:p w14:paraId="43268292" w14:textId="77777777" w:rsidR="00FD41A4" w:rsidRDefault="00FD41A4" w:rsidP="00302F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</w:t>
            </w:r>
          </w:p>
          <w:p w14:paraId="43268293" w14:textId="4E895CC4" w:rsidR="00FD41A4" w:rsidRPr="004F656B" w:rsidRDefault="00FD41A4" w:rsidP="00302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зависимости от даты составления документа может быть представлен на 2</w:t>
            </w:r>
            <w:r w:rsidR="00E61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</w:t>
            </w:r>
            <w:r w:rsidRPr="004F6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FD41A4" w:rsidRPr="00CC6CEB" w14:paraId="4326829A" w14:textId="77777777" w:rsidTr="00FD41A4">
        <w:tc>
          <w:tcPr>
            <w:tcW w:w="175" w:type="pct"/>
          </w:tcPr>
          <w:p w14:paraId="43268295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71F30BCC" w14:textId="14AD08B8" w:rsidR="0097305C" w:rsidRDefault="00FD41A4" w:rsidP="00FD41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занятость и стаж заемщиков </w:t>
            </w:r>
          </w:p>
          <w:p w14:paraId="43268297" w14:textId="6773A245" w:rsidR="00FD41A4" w:rsidRPr="003434CA" w:rsidRDefault="00FD41A4" w:rsidP="0097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соответствии с требованиями </w:t>
            </w:r>
            <w:r w:rsidRPr="002D33D0">
              <w:rPr>
                <w:rFonts w:ascii="Times New Roman" w:hAnsi="Times New Roman"/>
                <w:sz w:val="24"/>
                <w:szCs w:val="24"/>
              </w:rPr>
              <w:t xml:space="preserve">Методики оценки </w:t>
            </w:r>
            <w:r w:rsidR="009730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D33D0">
              <w:rPr>
                <w:rFonts w:ascii="Times New Roman" w:hAnsi="Times New Roman"/>
                <w:sz w:val="24"/>
                <w:szCs w:val="24"/>
              </w:rPr>
              <w:t>кредито-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3D0">
              <w:rPr>
                <w:rFonts w:ascii="Times New Roman" w:hAnsi="Times New Roman"/>
                <w:sz w:val="24"/>
                <w:szCs w:val="24"/>
              </w:rPr>
              <w:t>и платежеспособности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заемщика)</w:t>
            </w:r>
          </w:p>
        </w:tc>
        <w:tc>
          <w:tcPr>
            <w:tcW w:w="1174" w:type="pct"/>
            <w:vAlign w:val="center"/>
          </w:tcPr>
          <w:p w14:paraId="43268298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Merge w:val="restart"/>
            <w:vAlign w:val="center"/>
          </w:tcPr>
          <w:p w14:paraId="43268299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</w:tr>
      <w:tr w:rsidR="00FD41A4" w:rsidRPr="00CC6CEB" w14:paraId="432682A0" w14:textId="77777777" w:rsidTr="00FD41A4">
        <w:tc>
          <w:tcPr>
            <w:tcW w:w="175" w:type="pct"/>
          </w:tcPr>
          <w:p w14:paraId="4326829B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4326829D" w14:textId="6DA30D84" w:rsidR="00FD41A4" w:rsidRPr="003434C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платежеспособность (в соответствии с требованиями </w:t>
            </w:r>
            <w:r w:rsidRPr="002D33D0">
              <w:rPr>
                <w:rFonts w:ascii="Times New Roman" w:hAnsi="Times New Roman"/>
                <w:sz w:val="24"/>
                <w:szCs w:val="24"/>
              </w:rPr>
              <w:t>Методики оценки кредито-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3D0">
              <w:rPr>
                <w:rFonts w:ascii="Times New Roman" w:hAnsi="Times New Roman"/>
                <w:sz w:val="24"/>
                <w:szCs w:val="24"/>
              </w:rPr>
              <w:t>и платежеспособности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заемщика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4" w:type="pct"/>
            <w:vAlign w:val="center"/>
          </w:tcPr>
          <w:p w14:paraId="4326829E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Merge/>
            <w:vAlign w:val="bottom"/>
          </w:tcPr>
          <w:p w14:paraId="4326829F" w14:textId="77777777" w:rsidR="00FD41A4" w:rsidRPr="00CC6CEB" w:rsidRDefault="00FD41A4" w:rsidP="00302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A4" w:rsidRPr="00CC6CEB" w14:paraId="432682A6" w14:textId="77777777" w:rsidTr="00FD41A4">
        <w:tc>
          <w:tcPr>
            <w:tcW w:w="175" w:type="pct"/>
          </w:tcPr>
          <w:p w14:paraId="432682A1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A3" w14:textId="2F4C4A55" w:rsidR="00FD41A4" w:rsidRPr="003434C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наличие права на социальные льготы/принадлежность к социальной категории</w:t>
            </w:r>
          </w:p>
        </w:tc>
        <w:tc>
          <w:tcPr>
            <w:tcW w:w="1174" w:type="pct"/>
            <w:vAlign w:val="center"/>
          </w:tcPr>
          <w:p w14:paraId="432682A4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Align w:val="center"/>
          </w:tcPr>
          <w:p w14:paraId="432682A5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ри необходимости</w:t>
            </w:r>
          </w:p>
        </w:tc>
      </w:tr>
      <w:tr w:rsidR="00FD41A4" w:rsidRPr="00CC6CEB" w14:paraId="432682AC" w14:textId="77777777" w:rsidTr="00FD41A4">
        <w:tc>
          <w:tcPr>
            <w:tcW w:w="175" w:type="pct"/>
          </w:tcPr>
          <w:p w14:paraId="432682A7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432682A9" w14:textId="67496D88" w:rsidR="00FD41A4" w:rsidRPr="003434C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 о рождении детей</w:t>
            </w:r>
          </w:p>
        </w:tc>
        <w:tc>
          <w:tcPr>
            <w:tcW w:w="1174" w:type="pct"/>
            <w:vAlign w:val="center"/>
          </w:tcPr>
          <w:p w14:paraId="432682AA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454" w:type="pct"/>
            <w:vAlign w:val="bottom"/>
          </w:tcPr>
          <w:p w14:paraId="432682AB" w14:textId="70388F21" w:rsidR="00D21B00" w:rsidRPr="00D21B00" w:rsidRDefault="00FD41A4" w:rsidP="00D21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288">
              <w:rPr>
                <w:rFonts w:ascii="Times New Roman" w:hAnsi="Times New Roman"/>
                <w:sz w:val="24"/>
                <w:szCs w:val="24"/>
              </w:rPr>
              <w:t>В случае использования материнского капитала,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AC5288">
              <w:rPr>
                <w:rFonts w:ascii="Times New Roman" w:hAnsi="Times New Roman"/>
                <w:sz w:val="24"/>
                <w:szCs w:val="24"/>
              </w:rPr>
              <w:t xml:space="preserve">в иных случаях,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предусматривающих </w:t>
            </w:r>
            <w:r w:rsidRPr="00AC528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оответствующее подтверждение</w:t>
            </w:r>
          </w:p>
        </w:tc>
      </w:tr>
      <w:tr w:rsidR="00FD41A4" w:rsidRPr="00CC6CEB" w14:paraId="432682B2" w14:textId="77777777" w:rsidTr="00FD41A4">
        <w:tc>
          <w:tcPr>
            <w:tcW w:w="175" w:type="pct"/>
          </w:tcPr>
          <w:p w14:paraId="432682AD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432682AF" w14:textId="437CCA31" w:rsidR="00FD41A4" w:rsidRPr="00CC6CEB" w:rsidRDefault="00FD41A4" w:rsidP="00317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Согласие предшествующего кредитора на последующую ипотеку</w:t>
            </w:r>
          </w:p>
        </w:tc>
        <w:tc>
          <w:tcPr>
            <w:tcW w:w="1174" w:type="pct"/>
            <w:vAlign w:val="center"/>
          </w:tcPr>
          <w:p w14:paraId="432682B0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Align w:val="bottom"/>
          </w:tcPr>
          <w:p w14:paraId="432682B1" w14:textId="06B8B6E1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По всем продуктам, условия которых предусматривают погашение ранее предоставленного кредита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 наличии соответствующего согласия предшествующего кредитора</w:t>
            </w:r>
          </w:p>
        </w:tc>
      </w:tr>
      <w:tr w:rsidR="00FD41A4" w:rsidRPr="00CC6CEB" w14:paraId="432682B8" w14:textId="77777777" w:rsidTr="00FD41A4">
        <w:tc>
          <w:tcPr>
            <w:tcW w:w="175" w:type="pct"/>
          </w:tcPr>
          <w:p w14:paraId="432682B3" w14:textId="77777777" w:rsidR="00FD41A4" w:rsidRPr="001222B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432682B5" w14:textId="307A637F" w:rsidR="00FD41A4" w:rsidRPr="00CC6CEB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Договор об ипотеке предмета залога (при наличии)</w:t>
            </w:r>
          </w:p>
        </w:tc>
        <w:tc>
          <w:tcPr>
            <w:tcW w:w="1174" w:type="pct"/>
            <w:vAlign w:val="center"/>
          </w:tcPr>
          <w:p w14:paraId="432682B6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Align w:val="bottom"/>
          </w:tcPr>
          <w:p w14:paraId="432682B7" w14:textId="774C89E3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По всем продуктам, условия которых предусматривают возникновение последующей ипотеки</w:t>
            </w:r>
          </w:p>
        </w:tc>
      </w:tr>
      <w:tr w:rsidR="00FD41A4" w:rsidRPr="00CC6CEB" w14:paraId="432682BE" w14:textId="77777777" w:rsidTr="00FD41A4">
        <w:tc>
          <w:tcPr>
            <w:tcW w:w="175" w:type="pct"/>
          </w:tcPr>
          <w:p w14:paraId="432682B9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BB" w14:textId="4055A016" w:rsidR="00FD41A4" w:rsidRPr="00CC6CEB" w:rsidRDefault="00FD41A4" w:rsidP="00317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ссудного счета, подтверждающая размер остатка ссудной задолженности по </w:t>
            </w:r>
            <w:r w:rsidR="00317E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потечному кредиту/займу, ранее предоставленному на </w:t>
            </w:r>
            <w:r w:rsidR="00317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</w:t>
            </w:r>
            <w:r w:rsidR="00317EF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/строительств</w:t>
            </w:r>
            <w:r w:rsidR="00317E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EF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илого помещения</w:t>
            </w:r>
            <w:r w:rsidR="00317EFA">
              <w:rPr>
                <w:rFonts w:ascii="Times New Roman" w:hAnsi="Times New Roman"/>
                <w:color w:val="000000"/>
                <w:sz w:val="24"/>
                <w:szCs w:val="24"/>
              </w:rPr>
              <w:t>, по состоянию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дату погашения или </w:t>
            </w:r>
            <w:r w:rsidR="00317E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правка об остатке ссудной задолженности. (Справка об остатке ссудной задолженности заверяется кредитором (займодавцем) по ранее выданному кредиту (или по доверенности от его имени), и должна содержать номер и дату договора займа, сумму остатка ссудной задолженности, и Ф</w:t>
            </w:r>
            <w:r w:rsidR="00EE4D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E4D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E4D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заемщика, которому был предоставлен кредит.)</w:t>
            </w:r>
          </w:p>
        </w:tc>
        <w:tc>
          <w:tcPr>
            <w:tcW w:w="1174" w:type="pct"/>
            <w:vAlign w:val="center"/>
          </w:tcPr>
          <w:p w14:paraId="432682BC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Align w:val="center"/>
          </w:tcPr>
          <w:p w14:paraId="432682BD" w14:textId="4E52B37D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всем продуктам, условия которых предусматривают погашение ранее предоставленного кредита. </w:t>
            </w:r>
            <w:r w:rsidR="00124D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залогодержателем по первоначальному обязательству </w:t>
            </w:r>
            <w:r w:rsidR="00124D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не является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«АИЖК»</w:t>
            </w:r>
          </w:p>
        </w:tc>
      </w:tr>
      <w:tr w:rsidR="00FD41A4" w:rsidRPr="00CC6CEB" w14:paraId="432682C4" w14:textId="77777777" w:rsidTr="00FD41A4">
        <w:tc>
          <w:tcPr>
            <w:tcW w:w="175" w:type="pct"/>
          </w:tcPr>
          <w:p w14:paraId="432682BF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C1" w14:textId="40375C34" w:rsidR="00FD41A4" w:rsidRPr="003434C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Платежные документы, свидетельствующие о своевременности и полноте внесения заемщиком денежных средств в счет погашения задолженности по предшествующему кредиту, либо выписка по счету, используемому для погашения задолженности</w:t>
            </w:r>
          </w:p>
        </w:tc>
        <w:tc>
          <w:tcPr>
            <w:tcW w:w="1174" w:type="pct"/>
            <w:vAlign w:val="center"/>
          </w:tcPr>
          <w:p w14:paraId="432682C2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Align w:val="center"/>
          </w:tcPr>
          <w:p w14:paraId="432682C3" w14:textId="55BC9D26" w:rsidR="00FD41A4" w:rsidRPr="00FB4658" w:rsidRDefault="00FD41A4" w:rsidP="00302F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всем продуктам, условия которых предусматривают погашение ранее предоставленного кредита. </w:t>
            </w:r>
            <w:r w:rsidR="00124D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залогодержателем по первоначальному обязательству </w:t>
            </w:r>
            <w:r w:rsidR="00124DA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не является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«АИЖК»</w:t>
            </w:r>
          </w:p>
        </w:tc>
      </w:tr>
      <w:tr w:rsidR="001851F2" w:rsidRPr="00CC6CEB" w14:paraId="432682C7" w14:textId="77777777" w:rsidTr="00FD41A4">
        <w:tc>
          <w:tcPr>
            <w:tcW w:w="5000" w:type="pct"/>
            <w:gridSpan w:val="4"/>
          </w:tcPr>
          <w:p w14:paraId="432682C5" w14:textId="77777777" w:rsidR="00975B5C" w:rsidRDefault="00975B5C" w:rsidP="00FD41A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2682C6" w14:textId="3FE5935F" w:rsidR="001851F2" w:rsidRPr="001851F2" w:rsidRDefault="001851F2" w:rsidP="00B77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</w:t>
            </w:r>
            <w:r w:rsidRPr="001851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B4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ссмотрение предмета ипотеки, принятие окончательного решения о выдач</w:t>
            </w:r>
            <w:r w:rsidR="00124D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кредита (займа)</w:t>
            </w:r>
          </w:p>
        </w:tc>
      </w:tr>
      <w:tr w:rsidR="00FD41A4" w:rsidRPr="00CC6CEB" w14:paraId="432682CD" w14:textId="77777777" w:rsidTr="00FD41A4">
        <w:tc>
          <w:tcPr>
            <w:tcW w:w="175" w:type="pct"/>
          </w:tcPr>
          <w:p w14:paraId="432682C8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432682CA" w14:textId="6CA18651" w:rsidR="00FD41A4" w:rsidRPr="00CC6CEB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Отчет об оценке предмета залога</w:t>
            </w:r>
          </w:p>
        </w:tc>
        <w:tc>
          <w:tcPr>
            <w:tcW w:w="1174" w:type="pct"/>
            <w:vAlign w:val="bottom"/>
          </w:tcPr>
          <w:p w14:paraId="432682CB" w14:textId="64FAD950" w:rsidR="00FD41A4" w:rsidRPr="00CC6CEB" w:rsidRDefault="00FD41A4" w:rsidP="0030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документа влияет на срок положительного заключения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выдаче кредита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(займа)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кредитовании на цели погашения задолженности по ранее выданному ипотечному кредиту (займу)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775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календарных дней на дату завершения срока действия положительного заключения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выдаче кредита (займа)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7751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всех кредитных продуктов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месяцев на дату завершения срока действия положительного заключения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выдаче кредита (займа)</w:t>
            </w:r>
          </w:p>
        </w:tc>
        <w:tc>
          <w:tcPr>
            <w:tcW w:w="1454" w:type="pct"/>
            <w:vAlign w:val="center"/>
          </w:tcPr>
          <w:p w14:paraId="432682CC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гда </w:t>
            </w:r>
          </w:p>
        </w:tc>
      </w:tr>
      <w:tr w:rsidR="00FD41A4" w:rsidRPr="00CC6CEB" w14:paraId="432682D4" w14:textId="77777777" w:rsidTr="00FD41A4">
        <w:tc>
          <w:tcPr>
            <w:tcW w:w="175" w:type="pct"/>
          </w:tcPr>
          <w:p w14:paraId="432682CE" w14:textId="77777777" w:rsidR="00FD41A4" w:rsidRPr="002D33D0" w:rsidRDefault="00FD41A4" w:rsidP="007D5B8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D1" w14:textId="4394EB63" w:rsidR="00FD41A4" w:rsidRPr="003434C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право собственности продавца на предмет ипотеки (договор купли-продажи, мены, дарения, договор участия в долевом строительстве,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решение суда, договор передачи (приватизация), иное</w:t>
            </w:r>
          </w:p>
        </w:tc>
        <w:tc>
          <w:tcPr>
            <w:tcW w:w="1174" w:type="pct"/>
            <w:vAlign w:val="center"/>
          </w:tcPr>
          <w:p w14:paraId="432682D2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454" w:type="pct"/>
            <w:vAlign w:val="center"/>
          </w:tcPr>
          <w:p w14:paraId="432682D3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гда</w:t>
            </w:r>
          </w:p>
        </w:tc>
      </w:tr>
      <w:tr w:rsidR="00FD41A4" w:rsidRPr="00CC6CEB" w14:paraId="432682DA" w14:textId="77777777" w:rsidTr="00FD41A4">
        <w:tc>
          <w:tcPr>
            <w:tcW w:w="175" w:type="pct"/>
          </w:tcPr>
          <w:p w14:paraId="432682D5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bottom"/>
          </w:tcPr>
          <w:p w14:paraId="432682D7" w14:textId="26D9081D" w:rsidR="00FD41A4" w:rsidRPr="003434C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Решение органов опеки и попечительства</w:t>
            </w:r>
          </w:p>
        </w:tc>
        <w:tc>
          <w:tcPr>
            <w:tcW w:w="1174" w:type="pct"/>
            <w:vAlign w:val="center"/>
          </w:tcPr>
          <w:p w14:paraId="432682D8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1454" w:type="pct"/>
            <w:vAlign w:val="center"/>
          </w:tcPr>
          <w:p w14:paraId="432682D9" w14:textId="77777777" w:rsidR="00FD41A4" w:rsidRPr="00CC6CEB" w:rsidRDefault="00FD41A4" w:rsidP="003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</w:tr>
      <w:tr w:rsidR="00FD41A4" w:rsidRPr="00CC6CEB" w14:paraId="432682E1" w14:textId="77777777" w:rsidTr="00FD41A4">
        <w:tc>
          <w:tcPr>
            <w:tcW w:w="175" w:type="pct"/>
          </w:tcPr>
          <w:p w14:paraId="432682DB" w14:textId="77777777" w:rsidR="00FD41A4" w:rsidRPr="002D33D0" w:rsidRDefault="00FD41A4" w:rsidP="003037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pct"/>
            <w:vAlign w:val="center"/>
          </w:tcPr>
          <w:p w14:paraId="432682DD" w14:textId="5807FEFD" w:rsidR="00FD41A4" w:rsidRPr="003434CA" w:rsidRDefault="00FD41A4" w:rsidP="00FD4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D0">
              <w:rPr>
                <w:rFonts w:ascii="Times New Roman" w:hAnsi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1174" w:type="pct"/>
            <w:vAlign w:val="bottom"/>
          </w:tcPr>
          <w:p w14:paraId="432682DE" w14:textId="05B24821" w:rsidR="00FD41A4" w:rsidRPr="00CC6CEB" w:rsidRDefault="00FD41A4" w:rsidP="00302F51">
            <w:pPr>
              <w:rPr>
                <w:rFonts w:ascii="Times New Roman" w:hAnsi="Times New Roman"/>
                <w:sz w:val="24"/>
                <w:szCs w:val="24"/>
              </w:rPr>
            </w:pP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сроком действия</w:t>
            </w:r>
            <w:r w:rsidR="00124DA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установленным в документе. Если срок действия не установлен </w:t>
            </w:r>
            <w:r w:rsidR="00124DA3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месяцев</w:t>
            </w:r>
          </w:p>
        </w:tc>
        <w:tc>
          <w:tcPr>
            <w:tcW w:w="1454" w:type="pct"/>
            <w:vAlign w:val="bottom"/>
          </w:tcPr>
          <w:p w14:paraId="432682DF" w14:textId="77777777" w:rsidR="00FD41A4" w:rsidRDefault="00FD41A4" w:rsidP="00302F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CC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32682E0" w14:textId="77777777" w:rsidR="00FD41A4" w:rsidRPr="00CC6CEB" w:rsidRDefault="00FD41A4" w:rsidP="0030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0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документы могут быть запрошены как на первом, так и на втором этапе рассмотрения заявки</w:t>
            </w:r>
          </w:p>
        </w:tc>
      </w:tr>
    </w:tbl>
    <w:p w14:paraId="21D1DB21" w14:textId="77777777" w:rsidR="00124DA3" w:rsidRDefault="00124DA3" w:rsidP="0030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682E3" w14:textId="77777777" w:rsidR="00302F51" w:rsidRPr="00C03772" w:rsidRDefault="00CC6CEB" w:rsidP="00302F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72">
        <w:rPr>
          <w:rFonts w:ascii="Times New Roman" w:hAnsi="Times New Roman" w:cs="Times New Roman"/>
          <w:b/>
          <w:sz w:val="28"/>
          <w:szCs w:val="28"/>
        </w:rPr>
        <w:t>Сканированная копия представляется в том же виде (оригинал или надлежащим образом заверенная копия), в котором документ хранится у кредитора.</w:t>
      </w:r>
      <w:r w:rsidR="00302F51" w:rsidRPr="00C03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2682E4" w14:textId="2385BEC8" w:rsidR="00CC6CEB" w:rsidRPr="00C03772" w:rsidRDefault="00CC6CEB" w:rsidP="003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72">
        <w:rPr>
          <w:rFonts w:ascii="Times New Roman" w:hAnsi="Times New Roman" w:cs="Times New Roman"/>
          <w:sz w:val="28"/>
          <w:szCs w:val="28"/>
        </w:rPr>
        <w:t xml:space="preserve">Сканированная копия с оригинала документа делается в случае, если документ хранится в подлиннике. </w:t>
      </w:r>
    </w:p>
    <w:p w14:paraId="432682E5" w14:textId="5CF4B940" w:rsidR="00303735" w:rsidRPr="00C03772" w:rsidRDefault="00CC6CEB" w:rsidP="00302F51">
      <w:pPr>
        <w:spacing w:line="240" w:lineRule="auto"/>
        <w:ind w:firstLine="709"/>
        <w:jc w:val="both"/>
        <w:rPr>
          <w:sz w:val="28"/>
          <w:szCs w:val="28"/>
        </w:rPr>
      </w:pPr>
      <w:r w:rsidRPr="00C03772">
        <w:rPr>
          <w:rFonts w:ascii="Times New Roman" w:hAnsi="Times New Roman" w:cs="Times New Roman"/>
          <w:sz w:val="28"/>
          <w:szCs w:val="28"/>
        </w:rPr>
        <w:t xml:space="preserve">Если документ хранится в копии, то </w:t>
      </w:r>
      <w:r w:rsidR="0032286D" w:rsidRPr="00C03772">
        <w:rPr>
          <w:rFonts w:ascii="Times New Roman" w:hAnsi="Times New Roman" w:cs="Times New Roman"/>
          <w:sz w:val="28"/>
          <w:szCs w:val="28"/>
        </w:rPr>
        <w:t>в систему для рассмотрения заявки</w:t>
      </w:r>
      <w:r w:rsidRPr="00C03772">
        <w:rPr>
          <w:rFonts w:ascii="Times New Roman" w:hAnsi="Times New Roman" w:cs="Times New Roman"/>
          <w:sz w:val="28"/>
          <w:szCs w:val="28"/>
        </w:rPr>
        <w:t xml:space="preserve"> прикрепляется сканированная копия </w:t>
      </w:r>
      <w:r w:rsidR="00124DA3">
        <w:rPr>
          <w:rFonts w:ascii="Times New Roman" w:hAnsi="Times New Roman" w:cs="Times New Roman"/>
          <w:sz w:val="28"/>
          <w:szCs w:val="28"/>
        </w:rPr>
        <w:br/>
      </w:r>
      <w:r w:rsidRPr="00C03772">
        <w:rPr>
          <w:rFonts w:ascii="Times New Roman" w:hAnsi="Times New Roman" w:cs="Times New Roman"/>
          <w:sz w:val="28"/>
          <w:szCs w:val="28"/>
        </w:rPr>
        <w:t xml:space="preserve">с копии документа. Копия должна быть сделана с оригинала документа и надлежащим образом заверена. Копия </w:t>
      </w:r>
      <w:r w:rsidRPr="00C03772">
        <w:rPr>
          <w:rFonts w:ascii="Times New Roman" w:hAnsi="Times New Roman" w:cs="Times New Roman"/>
          <w:sz w:val="28"/>
          <w:szCs w:val="28"/>
        </w:rPr>
        <w:lastRenderedPageBreak/>
        <w:t xml:space="preserve">заверяется подписью уполномоченного лица с указанием его должности, наименования организации, фамилии </w:t>
      </w:r>
      <w:r w:rsidR="00124DA3">
        <w:rPr>
          <w:rFonts w:ascii="Times New Roman" w:hAnsi="Times New Roman" w:cs="Times New Roman"/>
          <w:sz w:val="28"/>
          <w:szCs w:val="28"/>
        </w:rPr>
        <w:br/>
      </w:r>
      <w:r w:rsidRPr="00C03772">
        <w:rPr>
          <w:rFonts w:ascii="Times New Roman" w:hAnsi="Times New Roman" w:cs="Times New Roman"/>
          <w:sz w:val="28"/>
          <w:szCs w:val="28"/>
        </w:rPr>
        <w:t xml:space="preserve">и инициалов имени и отчества и даты заверения (допустимо содержание соответствующей информации полностью или частично на печати </w:t>
      </w:r>
      <w:r w:rsidR="00124DA3" w:rsidRPr="0065760B">
        <w:rPr>
          <w:rFonts w:ascii="Times New Roman" w:hAnsi="Times New Roman" w:cs="Times New Roman"/>
          <w:sz w:val="28"/>
          <w:szCs w:val="28"/>
        </w:rPr>
        <w:t>и</w:t>
      </w:r>
      <w:r w:rsidR="00124DA3" w:rsidRPr="0003267F">
        <w:rPr>
          <w:rFonts w:ascii="Times New Roman" w:hAnsi="Times New Roman" w:cs="Times New Roman"/>
          <w:sz w:val="28"/>
          <w:szCs w:val="28"/>
        </w:rPr>
        <w:t>/</w:t>
      </w:r>
      <w:r w:rsidRPr="00C03772">
        <w:rPr>
          <w:rFonts w:ascii="Times New Roman" w:hAnsi="Times New Roman" w:cs="Times New Roman"/>
          <w:sz w:val="28"/>
          <w:szCs w:val="28"/>
        </w:rPr>
        <w:t xml:space="preserve">или штампе организации). При заверении копий документов проставляется печать (штамп) </w:t>
      </w:r>
      <w:r w:rsidR="00124DA3">
        <w:rPr>
          <w:rFonts w:ascii="Times New Roman" w:hAnsi="Times New Roman" w:cs="Times New Roman"/>
          <w:sz w:val="28"/>
          <w:szCs w:val="28"/>
        </w:rPr>
        <w:br/>
      </w:r>
      <w:r w:rsidRPr="00C03772">
        <w:rPr>
          <w:rFonts w:ascii="Times New Roman" w:hAnsi="Times New Roman" w:cs="Times New Roman"/>
          <w:sz w:val="28"/>
          <w:szCs w:val="28"/>
        </w:rPr>
        <w:t xml:space="preserve">в соответствии с правилами внутреннего документооборота кредитора, допускается применение как печати, так </w:t>
      </w:r>
      <w:r w:rsidR="00124DA3">
        <w:rPr>
          <w:rFonts w:ascii="Times New Roman" w:hAnsi="Times New Roman" w:cs="Times New Roman"/>
          <w:sz w:val="28"/>
          <w:szCs w:val="28"/>
        </w:rPr>
        <w:br/>
      </w:r>
      <w:r w:rsidRPr="00C03772">
        <w:rPr>
          <w:rFonts w:ascii="Times New Roman" w:hAnsi="Times New Roman" w:cs="Times New Roman"/>
          <w:sz w:val="28"/>
          <w:szCs w:val="28"/>
        </w:rPr>
        <w:t xml:space="preserve">и штампа организации. Надпись, подтверждающая соответствие копии оригиналу на документе, составленном </w:t>
      </w:r>
      <w:r w:rsidR="00124DA3">
        <w:rPr>
          <w:rFonts w:ascii="Times New Roman" w:hAnsi="Times New Roman" w:cs="Times New Roman"/>
          <w:sz w:val="28"/>
          <w:szCs w:val="28"/>
        </w:rPr>
        <w:br/>
      </w:r>
      <w:r w:rsidRPr="00C03772">
        <w:rPr>
          <w:rFonts w:ascii="Times New Roman" w:hAnsi="Times New Roman" w:cs="Times New Roman"/>
          <w:sz w:val="28"/>
          <w:szCs w:val="28"/>
        </w:rPr>
        <w:t>на одной странице, должна содержаться на этой же странице. В случае если копия документа насчитывает более одного листа, она может быть заверена двумя способами: заверяется каждая страница копии либо копия документа должна быть пронумерована, прошита, скреплена печатью (штампом) и заверена подписью уполномоченного лица.</w:t>
      </w:r>
      <w:r w:rsidRPr="00C03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03735" w:rsidRPr="00C03772" w:rsidSect="00332D70">
      <w:headerReference w:type="default" r:id="rId10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5961DC" w15:done="0"/>
  <w15:commentEx w15:paraId="231C47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EF91" w14:textId="77777777" w:rsidR="004B6547" w:rsidRDefault="004B6547" w:rsidP="00303735">
      <w:pPr>
        <w:spacing w:after="0" w:line="240" w:lineRule="auto"/>
      </w:pPr>
      <w:r>
        <w:separator/>
      </w:r>
    </w:p>
  </w:endnote>
  <w:endnote w:type="continuationSeparator" w:id="0">
    <w:p w14:paraId="16D45782" w14:textId="77777777" w:rsidR="004B6547" w:rsidRDefault="004B6547" w:rsidP="00303735">
      <w:pPr>
        <w:spacing w:after="0" w:line="240" w:lineRule="auto"/>
      </w:pPr>
      <w:r>
        <w:continuationSeparator/>
      </w:r>
    </w:p>
  </w:endnote>
  <w:endnote w:type="continuationNotice" w:id="1">
    <w:p w14:paraId="5A7CA393" w14:textId="77777777" w:rsidR="004B6547" w:rsidRDefault="004B6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A99A" w14:textId="77777777" w:rsidR="004B6547" w:rsidRDefault="004B6547" w:rsidP="00303735">
      <w:pPr>
        <w:spacing w:after="0" w:line="240" w:lineRule="auto"/>
      </w:pPr>
      <w:r>
        <w:separator/>
      </w:r>
    </w:p>
  </w:footnote>
  <w:footnote w:type="continuationSeparator" w:id="0">
    <w:p w14:paraId="61E7C92D" w14:textId="77777777" w:rsidR="004B6547" w:rsidRDefault="004B6547" w:rsidP="00303735">
      <w:pPr>
        <w:spacing w:after="0" w:line="240" w:lineRule="auto"/>
      </w:pPr>
      <w:r>
        <w:continuationSeparator/>
      </w:r>
    </w:p>
  </w:footnote>
  <w:footnote w:type="continuationNotice" w:id="1">
    <w:p w14:paraId="4F40CAD1" w14:textId="77777777" w:rsidR="004B6547" w:rsidRDefault="004B6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11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E03E9D" w14:textId="0B0205E9" w:rsidR="00E6120E" w:rsidRPr="00C03772" w:rsidRDefault="00E6120E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7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7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7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4DC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037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ADE790" w14:textId="77777777" w:rsidR="00E6120E" w:rsidRDefault="00E6120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7F0"/>
    <w:multiLevelType w:val="hybridMultilevel"/>
    <w:tmpl w:val="97AA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35"/>
    <w:rsid w:val="00007D65"/>
    <w:rsid w:val="000157BD"/>
    <w:rsid w:val="000A2A1F"/>
    <w:rsid w:val="000F4FC1"/>
    <w:rsid w:val="00105EF0"/>
    <w:rsid w:val="001222B0"/>
    <w:rsid w:val="00124DA3"/>
    <w:rsid w:val="001661BB"/>
    <w:rsid w:val="0018257A"/>
    <w:rsid w:val="001851F2"/>
    <w:rsid w:val="0020781F"/>
    <w:rsid w:val="002457AB"/>
    <w:rsid w:val="002D33D0"/>
    <w:rsid w:val="002E4D29"/>
    <w:rsid w:val="00302F51"/>
    <w:rsid w:val="00303735"/>
    <w:rsid w:val="00317EFA"/>
    <w:rsid w:val="0032286D"/>
    <w:rsid w:val="00332D70"/>
    <w:rsid w:val="003434CA"/>
    <w:rsid w:val="00355E0C"/>
    <w:rsid w:val="003B46AB"/>
    <w:rsid w:val="003C5513"/>
    <w:rsid w:val="00451674"/>
    <w:rsid w:val="00456F17"/>
    <w:rsid w:val="00475A34"/>
    <w:rsid w:val="00475E5D"/>
    <w:rsid w:val="00492E3F"/>
    <w:rsid w:val="004A38F7"/>
    <w:rsid w:val="004B6547"/>
    <w:rsid w:val="004D560A"/>
    <w:rsid w:val="004F656B"/>
    <w:rsid w:val="00540FB4"/>
    <w:rsid w:val="006033CA"/>
    <w:rsid w:val="006104AD"/>
    <w:rsid w:val="00611E1D"/>
    <w:rsid w:val="0064051F"/>
    <w:rsid w:val="006464BC"/>
    <w:rsid w:val="00650115"/>
    <w:rsid w:val="006C0AF8"/>
    <w:rsid w:val="00716CE5"/>
    <w:rsid w:val="00754C58"/>
    <w:rsid w:val="00766FC3"/>
    <w:rsid w:val="007D55D1"/>
    <w:rsid w:val="007D5B87"/>
    <w:rsid w:val="007E7AD6"/>
    <w:rsid w:val="007F3E80"/>
    <w:rsid w:val="0080726F"/>
    <w:rsid w:val="00850F2C"/>
    <w:rsid w:val="008F213C"/>
    <w:rsid w:val="0091552F"/>
    <w:rsid w:val="00927E73"/>
    <w:rsid w:val="00952358"/>
    <w:rsid w:val="0097305C"/>
    <w:rsid w:val="00975B5C"/>
    <w:rsid w:val="0098202C"/>
    <w:rsid w:val="009862BF"/>
    <w:rsid w:val="009C128C"/>
    <w:rsid w:val="00A411B3"/>
    <w:rsid w:val="00A457F7"/>
    <w:rsid w:val="00A710A4"/>
    <w:rsid w:val="00AA675A"/>
    <w:rsid w:val="00AC2B43"/>
    <w:rsid w:val="00AC5288"/>
    <w:rsid w:val="00AD4E53"/>
    <w:rsid w:val="00B07FF0"/>
    <w:rsid w:val="00B14F05"/>
    <w:rsid w:val="00B77519"/>
    <w:rsid w:val="00BB4C2A"/>
    <w:rsid w:val="00BC7876"/>
    <w:rsid w:val="00C03772"/>
    <w:rsid w:val="00C0436A"/>
    <w:rsid w:val="00C214B2"/>
    <w:rsid w:val="00C64DC6"/>
    <w:rsid w:val="00CC6CEB"/>
    <w:rsid w:val="00CC787D"/>
    <w:rsid w:val="00D04561"/>
    <w:rsid w:val="00D21B00"/>
    <w:rsid w:val="00E17B22"/>
    <w:rsid w:val="00E200B0"/>
    <w:rsid w:val="00E6120E"/>
    <w:rsid w:val="00E9341A"/>
    <w:rsid w:val="00EE2842"/>
    <w:rsid w:val="00EE4DAA"/>
    <w:rsid w:val="00EF6092"/>
    <w:rsid w:val="00F10D9A"/>
    <w:rsid w:val="00F20BE7"/>
    <w:rsid w:val="00F2103F"/>
    <w:rsid w:val="00F23B95"/>
    <w:rsid w:val="00F25F96"/>
    <w:rsid w:val="00F262CA"/>
    <w:rsid w:val="00F511F2"/>
    <w:rsid w:val="00F77D50"/>
    <w:rsid w:val="00FA11B8"/>
    <w:rsid w:val="00FB4658"/>
    <w:rsid w:val="00FC3CB3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8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373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3037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0373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303735"/>
    <w:rPr>
      <w:vertAlign w:val="superscript"/>
    </w:rPr>
  </w:style>
  <w:style w:type="character" w:customStyle="1" w:styleId="a5">
    <w:name w:val="Абзац списка Знак"/>
    <w:basedOn w:val="a0"/>
    <w:link w:val="a4"/>
    <w:uiPriority w:val="34"/>
    <w:rsid w:val="00303735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CC6C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C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C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C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C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CE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C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6CEB"/>
  </w:style>
  <w:style w:type="paragraph" w:styleId="af2">
    <w:name w:val="footer"/>
    <w:basedOn w:val="a"/>
    <w:link w:val="af3"/>
    <w:uiPriority w:val="99"/>
    <w:unhideWhenUsed/>
    <w:rsid w:val="00CC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6CEB"/>
  </w:style>
  <w:style w:type="paragraph" w:styleId="af4">
    <w:name w:val="Revision"/>
    <w:hidden/>
    <w:uiPriority w:val="99"/>
    <w:semiHidden/>
    <w:rsid w:val="009C1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373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3037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0373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303735"/>
    <w:rPr>
      <w:vertAlign w:val="superscript"/>
    </w:rPr>
  </w:style>
  <w:style w:type="character" w:customStyle="1" w:styleId="a5">
    <w:name w:val="Абзац списка Знак"/>
    <w:basedOn w:val="a0"/>
    <w:link w:val="a4"/>
    <w:uiPriority w:val="34"/>
    <w:rsid w:val="00303735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CC6C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C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C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C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C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CE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C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6CEB"/>
  </w:style>
  <w:style w:type="paragraph" w:styleId="af2">
    <w:name w:val="footer"/>
    <w:basedOn w:val="a"/>
    <w:link w:val="af3"/>
    <w:uiPriority w:val="99"/>
    <w:unhideWhenUsed/>
    <w:rsid w:val="00CC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6CEB"/>
  </w:style>
  <w:style w:type="paragraph" w:styleId="af4">
    <w:name w:val="Revision"/>
    <w:hidden/>
    <w:uiPriority w:val="99"/>
    <w:semiHidden/>
    <w:rsid w:val="009C1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7BDB-4ADC-4071-A0ED-FE8980B47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77D88-22FD-438B-961C-64B36F12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Владимировна</dc:creator>
  <cp:lastModifiedBy>Мелентьева Елена Игоревна</cp:lastModifiedBy>
  <cp:revision>6</cp:revision>
  <cp:lastPrinted>2016-03-14T09:09:00Z</cp:lastPrinted>
  <dcterms:created xsi:type="dcterms:W3CDTF">2016-03-10T12:34:00Z</dcterms:created>
  <dcterms:modified xsi:type="dcterms:W3CDTF">2016-03-16T14:30:00Z</dcterms:modified>
</cp:coreProperties>
</file>